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D9A" w:rsidRDefault="001E0777">
      <w:pPr>
        <w:pStyle w:val="20"/>
        <w:shd w:val="clear" w:color="auto" w:fill="auto"/>
        <w:ind w:left="9640" w:right="940"/>
      </w:pPr>
      <w:r>
        <w:t>Приложение № 1 к Единым стандартам качества обслуживания сетевыми организациями потребителей услуг сетевых организаций</w:t>
      </w:r>
    </w:p>
    <w:p w:rsidR="00004D9A" w:rsidRDefault="001E0777">
      <w:pPr>
        <w:pStyle w:val="21"/>
        <w:shd w:val="clear" w:color="auto" w:fill="auto"/>
        <w:spacing w:before="0" w:after="74" w:line="230" w:lineRule="exact"/>
        <w:ind w:right="20"/>
      </w:pPr>
      <w:r>
        <w:t>ПАСПОРТ УСЛУГИ (ПРОЦЕССА) СЕТЕВОЙ ОРГАНИЗАЦИИ</w:t>
      </w:r>
    </w:p>
    <w:p w:rsidR="00004D9A" w:rsidRDefault="001E0777">
      <w:pPr>
        <w:pStyle w:val="21"/>
        <w:shd w:val="clear" w:color="auto" w:fill="auto"/>
        <w:spacing w:before="0" w:after="0" w:line="278" w:lineRule="exact"/>
        <w:ind w:right="20"/>
      </w:pPr>
      <w:r>
        <w:rPr>
          <w:rStyle w:val="1"/>
        </w:rPr>
        <w:t>Технологического присоединения энергопринимающих устройств потребителей электрической энергии посредством</w:t>
      </w:r>
      <w:r>
        <w:t xml:space="preserve"> </w:t>
      </w:r>
      <w:r>
        <w:rPr>
          <w:rStyle w:val="1"/>
        </w:rPr>
        <w:t>перераспределения максимальной мощности между юридическими лицами и индивидуальными предпринимателями, а также</w:t>
      </w:r>
      <w:r>
        <w:t xml:space="preserve"> особенности отказа потребителей электрической энергии от максимальной мощности в пользу сетевой организации</w:t>
      </w:r>
    </w:p>
    <w:p w:rsidR="00004D9A" w:rsidRDefault="001E0777">
      <w:pPr>
        <w:pStyle w:val="20"/>
        <w:shd w:val="clear" w:color="auto" w:fill="auto"/>
        <w:spacing w:after="273" w:line="180" w:lineRule="exact"/>
        <w:ind w:right="20"/>
        <w:jc w:val="center"/>
      </w:pPr>
      <w:r>
        <w:t>наименование услуги (процесса)</w:t>
      </w:r>
    </w:p>
    <w:p w:rsidR="00004D9A" w:rsidRDefault="001E0777">
      <w:pPr>
        <w:pStyle w:val="21"/>
        <w:shd w:val="clear" w:color="auto" w:fill="auto"/>
        <w:spacing w:before="0" w:after="0" w:line="274" w:lineRule="exact"/>
        <w:ind w:left="20"/>
        <w:jc w:val="left"/>
      </w:pPr>
      <w:r>
        <w:t>Круг заявителей: Юридические лица, индивидуальные предприниматели.</w:t>
      </w:r>
    </w:p>
    <w:p w:rsidR="00004D9A" w:rsidRDefault="001E0777">
      <w:pPr>
        <w:pStyle w:val="21"/>
        <w:shd w:val="clear" w:color="auto" w:fill="auto"/>
        <w:spacing w:before="0" w:after="0" w:line="274" w:lineRule="exact"/>
        <w:ind w:left="20"/>
        <w:jc w:val="left"/>
      </w:pPr>
      <w:r>
        <w:t>Размер платы за предоставление услуги (процесса) и основание ее взимания: Тарифы, утвержденные органом исполнительной власти субъекта РФ на период регулирования, ответственным за тарифное регулирование Условия оказания услуги (процесса):</w:t>
      </w:r>
    </w:p>
    <w:p w:rsidR="00004D9A" w:rsidRDefault="001E0777">
      <w:pPr>
        <w:pStyle w:val="21"/>
        <w:shd w:val="clear" w:color="auto" w:fill="auto"/>
        <w:spacing w:before="0" w:after="0" w:line="274" w:lineRule="exact"/>
        <w:ind w:left="20" w:firstLine="720"/>
        <w:jc w:val="both"/>
      </w:pPr>
      <w:r>
        <w:t>а) Наличие соглашения о перераспределении мощности между заинтересованными лицами; наличие избытков мощности.</w:t>
      </w:r>
    </w:p>
    <w:p w:rsidR="00004D9A" w:rsidRDefault="001E0777">
      <w:pPr>
        <w:pStyle w:val="21"/>
        <w:shd w:val="clear" w:color="auto" w:fill="auto"/>
        <w:spacing w:before="0" w:after="0" w:line="274" w:lineRule="exact"/>
        <w:ind w:left="20" w:firstLine="720"/>
        <w:jc w:val="both"/>
      </w:pPr>
      <w:proofErr w:type="gramStart"/>
      <w:r>
        <w:t>б) Перераспределение возможно в пределах действия одн</w:t>
      </w:r>
      <w:r w:rsidR="00F87B98">
        <w:t>о</w:t>
      </w:r>
      <w:r>
        <w:t xml:space="preserve">го центра питания (при осуществлении перераспределения максимальной мощности в электрических сетях классом напряжения от 0,4 до 35 </w:t>
      </w:r>
      <w:proofErr w:type="spellStart"/>
      <w:r>
        <w:t>кВ</w:t>
      </w:r>
      <w:proofErr w:type="spellEnd"/>
      <w:r>
        <w:t xml:space="preserve"> центром питания считается питающая подстанция с классом напряжения 35 </w:t>
      </w:r>
      <w:proofErr w:type="spellStart"/>
      <w:r>
        <w:t>кВ</w:t>
      </w:r>
      <w:proofErr w:type="spellEnd"/>
      <w:r>
        <w:t xml:space="preserve">, при осуществлении перераспределения максимальной мощности в электрических сетях классом напряжения свыше 35 </w:t>
      </w:r>
      <w:proofErr w:type="spellStart"/>
      <w:r>
        <w:t>кВ</w:t>
      </w:r>
      <w:proofErr w:type="spellEnd"/>
      <w:r>
        <w:t xml:space="preserve"> центром питания считается распределительное устройство подстанции;</w:t>
      </w:r>
      <w:proofErr w:type="gramEnd"/>
    </w:p>
    <w:p w:rsidR="00004D9A" w:rsidRDefault="001E0777">
      <w:pPr>
        <w:pStyle w:val="21"/>
        <w:shd w:val="clear" w:color="auto" w:fill="auto"/>
        <w:spacing w:before="0" w:after="0" w:line="274" w:lineRule="exact"/>
        <w:ind w:left="20" w:firstLine="720"/>
        <w:jc w:val="both"/>
      </w:pPr>
      <w:r>
        <w:t xml:space="preserve">в) Заявители, </w:t>
      </w:r>
      <w:proofErr w:type="gramStart"/>
      <w:r>
        <w:t>отношении</w:t>
      </w:r>
      <w:proofErr w:type="gramEnd"/>
      <w:r>
        <w:t xml:space="preserve">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:rsidR="00004D9A" w:rsidRDefault="001E0777">
      <w:pPr>
        <w:pStyle w:val="21"/>
        <w:shd w:val="clear" w:color="auto" w:fill="auto"/>
        <w:spacing w:before="0" w:after="0" w:line="274" w:lineRule="exact"/>
        <w:ind w:left="20" w:firstLine="720"/>
        <w:jc w:val="both"/>
      </w:pPr>
      <w:r>
        <w:t>г) За исключением лиц, юридические лица и индивидуальные предприниматели до 150 (3 категория надежности), намеревающихся осуществить присоединение по временной схеме, физических лиц коммунально-бытовая нагрузка до 15 кВт (с учетом ранее присоединенной).</w:t>
      </w:r>
    </w:p>
    <w:p w:rsidR="00004D9A" w:rsidRDefault="001E0777">
      <w:pPr>
        <w:pStyle w:val="21"/>
        <w:shd w:val="clear" w:color="auto" w:fill="auto"/>
        <w:spacing w:before="0" w:after="0" w:line="274" w:lineRule="exact"/>
        <w:ind w:left="20" w:firstLine="720"/>
        <w:jc w:val="both"/>
      </w:pPr>
      <w:r>
        <w:t xml:space="preserve">д) Технологическое присоединение лица, заинтересованного в перераспределении мощности, осуществляется только после снижения мощности </w:t>
      </w:r>
      <w:proofErr w:type="spellStart"/>
      <w:r>
        <w:t>перераспределителем</w:t>
      </w:r>
      <w:proofErr w:type="spellEnd"/>
      <w:r>
        <w:t>.</w:t>
      </w:r>
    </w:p>
    <w:p w:rsidR="00004D9A" w:rsidRDefault="001E0777">
      <w:pPr>
        <w:pStyle w:val="21"/>
        <w:shd w:val="clear" w:color="auto" w:fill="auto"/>
        <w:spacing w:before="0" w:after="0" w:line="274" w:lineRule="exact"/>
        <w:ind w:left="20"/>
        <w:jc w:val="left"/>
      </w:pPr>
      <w:r>
        <w:t>Результат оказания услуги (процесса): Технологическое присоединение посредством перераспределения максимальной мощности Общий срок оказания услуги (процесса): Не более 1 года</w:t>
      </w:r>
    </w:p>
    <w:p w:rsidR="00004D9A" w:rsidRDefault="001E0777">
      <w:pPr>
        <w:pStyle w:val="21"/>
        <w:shd w:val="clear" w:color="auto" w:fill="auto"/>
        <w:spacing w:before="0" w:after="74" w:line="230" w:lineRule="exact"/>
        <w:ind w:left="120"/>
        <w:jc w:val="left"/>
      </w:pPr>
      <w:r>
        <w:t>Состав, последовательность и сроки оказания услуги (процесса):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994"/>
        <w:gridCol w:w="5386"/>
        <w:gridCol w:w="1992"/>
        <w:gridCol w:w="2971"/>
        <w:gridCol w:w="2136"/>
      </w:tblGrid>
      <w:tr w:rsidR="00004D9A">
        <w:trPr>
          <w:trHeight w:hRule="exact" w:val="94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60" w:line="200" w:lineRule="exact"/>
              <w:ind w:left="180"/>
              <w:jc w:val="left"/>
            </w:pPr>
            <w:r>
              <w:rPr>
                <w:rStyle w:val="10pt"/>
              </w:rPr>
              <w:lastRenderedPageBreak/>
              <w:t>№</w:t>
            </w:r>
          </w:p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60" w:after="0" w:line="200" w:lineRule="exact"/>
              <w:ind w:left="180"/>
              <w:jc w:val="left"/>
            </w:pPr>
            <w:proofErr w:type="gramStart"/>
            <w:r>
              <w:rPr>
                <w:rStyle w:val="10pt"/>
              </w:rPr>
              <w:t>п</w:t>
            </w:r>
            <w:proofErr w:type="gramEnd"/>
            <w:r>
              <w:rPr>
                <w:rStyle w:val="10pt"/>
              </w:rPr>
              <w:t>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0pt"/>
              </w:rPr>
              <w:t>Этап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0pt"/>
              </w:rPr>
              <w:t>Содержание/условия этапа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120" w:line="200" w:lineRule="exact"/>
            </w:pPr>
            <w:r>
              <w:rPr>
                <w:rStyle w:val="10pt"/>
              </w:rPr>
              <w:t>Форма</w:t>
            </w:r>
          </w:p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120" w:after="0" w:line="200" w:lineRule="exact"/>
            </w:pPr>
            <w:r>
              <w:rPr>
                <w:rStyle w:val="10pt"/>
              </w:rPr>
              <w:t>предоставления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10pt"/>
              </w:rPr>
              <w:t>Срок исполнения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10pt"/>
              </w:rPr>
              <w:t>Ссылка на нормативный правовой акт</w:t>
            </w:r>
          </w:p>
        </w:tc>
      </w:tr>
      <w:tr w:rsidR="00004D9A">
        <w:trPr>
          <w:trHeight w:hRule="exact" w:val="9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05pt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54" w:lineRule="exact"/>
              <w:jc w:val="both"/>
            </w:pPr>
            <w:r>
              <w:rPr>
                <w:rStyle w:val="105pt"/>
              </w:rPr>
              <w:t>Направление уведомления и подписанного сторонами соглашения о перераспределении мощности в сетевую организацию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60" w:line="210" w:lineRule="exact"/>
            </w:pPr>
            <w:r>
              <w:rPr>
                <w:rStyle w:val="105pt"/>
              </w:rPr>
              <w:t>Электронная,</w:t>
            </w:r>
          </w:p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"/>
              </w:rPr>
              <w:t>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10 дней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50" w:lineRule="exact"/>
            </w:pPr>
            <w:proofErr w:type="spellStart"/>
            <w:r>
              <w:rPr>
                <w:rStyle w:val="105pt"/>
              </w:rPr>
              <w:t>п.п</w:t>
            </w:r>
            <w:proofErr w:type="spellEnd"/>
            <w:r>
              <w:rPr>
                <w:rStyle w:val="105pt"/>
              </w:rPr>
              <w:t>. 34-40 Правил технологического присоединения</w:t>
            </w:r>
            <w:r>
              <w:rPr>
                <w:rStyle w:val="105pt"/>
                <w:vertAlign w:val="superscript"/>
              </w:rPr>
              <w:footnoteReference w:id="1"/>
            </w:r>
          </w:p>
        </w:tc>
      </w:tr>
      <w:tr w:rsidR="00004D9A">
        <w:trPr>
          <w:trHeight w:hRule="exact" w:val="14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05pt"/>
              </w:rPr>
              <w:t>2.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50" w:lineRule="exact"/>
              <w:jc w:val="both"/>
            </w:pPr>
            <w:r>
              <w:rPr>
                <w:rStyle w:val="105pt"/>
              </w:rPr>
              <w:t>Заключение договора об осуществлении технологического присоединения к электрическим сетям посредством перераспределения максимальной мощности с лицом, заинтересованным в перераспределении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54" w:lineRule="exact"/>
              <w:ind w:left="400"/>
              <w:jc w:val="left"/>
            </w:pPr>
            <w:r>
              <w:rPr>
                <w:rStyle w:val="105pt"/>
              </w:rPr>
              <w:t>15 дней (если не указан другой срок в договоре)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9A" w:rsidRDefault="00004D9A">
            <w:pPr>
              <w:framePr w:w="14189" w:wrap="notBeside" w:vAnchor="text" w:hAnchor="text" w:xAlign="center" w:y="1"/>
            </w:pPr>
          </w:p>
        </w:tc>
      </w:tr>
      <w:tr w:rsidR="00004D9A">
        <w:trPr>
          <w:trHeight w:hRule="exact" w:val="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05pt"/>
              </w:rPr>
              <w:t>3.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"/>
              </w:rPr>
              <w:t>Исполнение обязательств по договору:</w:t>
            </w:r>
            <w:r>
              <w:rPr>
                <w:rStyle w:val="105pt"/>
                <w:vertAlign w:val="superscript"/>
              </w:rPr>
              <w:footnoteReference w:id="2"/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-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9A" w:rsidRDefault="00004D9A">
            <w:pPr>
              <w:framePr w:w="14189" w:wrap="notBeside" w:vAnchor="text" w:hAnchor="text" w:xAlign="center" w:y="1"/>
            </w:pPr>
          </w:p>
        </w:tc>
      </w:tr>
      <w:tr w:rsidR="00004D9A">
        <w:trPr>
          <w:trHeight w:hRule="exact" w:val="4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05pt"/>
              </w:rPr>
              <w:t>4.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"/>
              </w:rPr>
              <w:t>Без мероприятий со стороны СО до 670 кВт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-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Не более 120 дней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9A" w:rsidRDefault="00004D9A">
            <w:pPr>
              <w:framePr w:w="14189" w:wrap="notBeside" w:vAnchor="text" w:hAnchor="text" w:xAlign="center" w:y="1"/>
            </w:pPr>
          </w:p>
        </w:tc>
      </w:tr>
      <w:tr w:rsidR="00004D9A">
        <w:trPr>
          <w:trHeight w:hRule="exact" w:val="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05pt"/>
              </w:rPr>
              <w:t>5.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"/>
              </w:rPr>
              <w:t>Без мероприятий со стороны СО свыше 670 кВт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-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Не более 1 года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9A" w:rsidRDefault="00004D9A">
            <w:pPr>
              <w:framePr w:w="14189" w:wrap="notBeside" w:vAnchor="text" w:hAnchor="text" w:xAlign="center" w:y="1"/>
            </w:pPr>
          </w:p>
        </w:tc>
      </w:tr>
      <w:tr w:rsidR="00004D9A">
        <w:trPr>
          <w:trHeight w:hRule="exact" w:val="4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05pt"/>
              </w:rPr>
              <w:t>6.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3.3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"/>
              </w:rPr>
              <w:t xml:space="preserve">С мероприятиями со стороны </w:t>
            </w:r>
            <w:proofErr w:type="gramStart"/>
            <w:r>
              <w:rPr>
                <w:rStyle w:val="105pt"/>
              </w:rPr>
              <w:t>СО</w:t>
            </w:r>
            <w:proofErr w:type="gram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-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Не более 6 месяцев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4D9A" w:rsidRDefault="00004D9A">
            <w:pPr>
              <w:framePr w:w="14189" w:wrap="notBeside" w:vAnchor="text" w:hAnchor="text" w:xAlign="center" w:y="1"/>
            </w:pPr>
          </w:p>
        </w:tc>
      </w:tr>
      <w:tr w:rsidR="00004D9A">
        <w:trPr>
          <w:trHeight w:hRule="exact" w:val="6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  <w:ind w:left="180"/>
              <w:jc w:val="left"/>
            </w:pPr>
            <w:r>
              <w:rPr>
                <w:rStyle w:val="105pt"/>
              </w:rPr>
              <w:t>7.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  <w:jc w:val="both"/>
            </w:pPr>
            <w:r>
              <w:rPr>
                <w:rStyle w:val="105pt"/>
              </w:rPr>
              <w:t>Получение Актов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60" w:line="210" w:lineRule="exact"/>
            </w:pPr>
            <w:r>
              <w:rPr>
                <w:rStyle w:val="105pt"/>
              </w:rPr>
              <w:t>Электронная,</w:t>
            </w:r>
          </w:p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60" w:after="0" w:line="210" w:lineRule="exact"/>
            </w:pPr>
            <w:r>
              <w:rPr>
                <w:rStyle w:val="105pt"/>
              </w:rPr>
              <w:t>Очная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4D9A" w:rsidRDefault="001E0777">
            <w:pPr>
              <w:pStyle w:val="21"/>
              <w:framePr w:w="14189" w:wrap="notBeside" w:vAnchor="text" w:hAnchor="text" w:xAlign="center" w:y="1"/>
              <w:shd w:val="clear" w:color="auto" w:fill="auto"/>
              <w:spacing w:before="0" w:after="0" w:line="210" w:lineRule="exact"/>
            </w:pPr>
            <w:r>
              <w:rPr>
                <w:rStyle w:val="105pt"/>
              </w:rPr>
              <w:t>10 дней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D9A" w:rsidRDefault="00004D9A">
            <w:pPr>
              <w:framePr w:w="14189" w:wrap="notBeside" w:vAnchor="text" w:hAnchor="text" w:xAlign="center" w:y="1"/>
            </w:pPr>
          </w:p>
        </w:tc>
      </w:tr>
    </w:tbl>
    <w:p w:rsidR="00004D9A" w:rsidRDefault="00004D9A">
      <w:pPr>
        <w:rPr>
          <w:sz w:val="2"/>
          <w:szCs w:val="2"/>
        </w:rPr>
      </w:pPr>
    </w:p>
    <w:p w:rsidR="005D16B1" w:rsidRDefault="005D16B1" w:rsidP="005D16B1">
      <w:pPr>
        <w:pStyle w:val="23"/>
        <w:keepNext/>
        <w:keepLines/>
        <w:shd w:val="clear" w:color="auto" w:fill="auto"/>
        <w:spacing w:before="69"/>
        <w:ind w:left="100" w:right="1060"/>
      </w:pPr>
      <w:r>
        <w:t>Контактная информация:</w:t>
      </w:r>
    </w:p>
    <w:p w:rsidR="005D16B1" w:rsidRDefault="005D16B1" w:rsidP="005D16B1">
      <w:pPr>
        <w:pStyle w:val="21"/>
        <w:shd w:val="clear" w:color="auto" w:fill="auto"/>
        <w:spacing w:before="65" w:after="0" w:line="278" w:lineRule="exact"/>
        <w:ind w:left="100" w:right="-14"/>
        <w:jc w:val="left"/>
        <w:rPr>
          <w:b/>
        </w:rPr>
      </w:pPr>
      <w:r>
        <w:t xml:space="preserve">- г. Екатеринбург, тел. (343) 272 10 76, электронная почта: </w:t>
      </w:r>
      <w:hyperlink r:id="rId7" w:history="1">
        <w:r>
          <w:rPr>
            <w:rStyle w:val="a3"/>
            <w:lang w:val="en-US"/>
          </w:rPr>
          <w:t>molchanov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cupp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B8611D" w:rsidRDefault="00B8611D" w:rsidP="00B8611D">
      <w:pPr>
        <w:pStyle w:val="21"/>
        <w:shd w:val="clear" w:color="auto" w:fill="auto"/>
        <w:spacing w:before="65" w:after="0" w:line="278" w:lineRule="exact"/>
        <w:ind w:left="100" w:right="-14"/>
        <w:jc w:val="left"/>
      </w:pPr>
      <w:bookmarkStart w:id="0" w:name="_GoBack"/>
      <w:bookmarkEnd w:id="0"/>
    </w:p>
    <w:p w:rsidR="00004D9A" w:rsidRDefault="00004D9A" w:rsidP="00B8611D">
      <w:pPr>
        <w:pStyle w:val="21"/>
        <w:shd w:val="clear" w:color="auto" w:fill="auto"/>
        <w:spacing w:before="69" w:after="0" w:line="274" w:lineRule="exact"/>
        <w:ind w:left="120" w:right="2120"/>
        <w:jc w:val="left"/>
      </w:pPr>
    </w:p>
    <w:sectPr w:rsidR="00004D9A">
      <w:footnotePr>
        <w:numRestart w:val="eachPage"/>
      </w:footnotePr>
      <w:type w:val="continuous"/>
      <w:pgSz w:w="16838" w:h="11909" w:orient="landscape"/>
      <w:pgMar w:top="930" w:right="1308" w:bottom="930" w:left="13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23" w:rsidRDefault="006B4D23">
      <w:r>
        <w:separator/>
      </w:r>
    </w:p>
  </w:endnote>
  <w:endnote w:type="continuationSeparator" w:id="0">
    <w:p w:rsidR="006B4D23" w:rsidRDefault="006B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23" w:rsidRDefault="006B4D23">
      <w:r>
        <w:separator/>
      </w:r>
    </w:p>
  </w:footnote>
  <w:footnote w:type="continuationSeparator" w:id="0">
    <w:p w:rsidR="006B4D23" w:rsidRDefault="006B4D23">
      <w:r>
        <w:continuationSeparator/>
      </w:r>
    </w:p>
  </w:footnote>
  <w:footnote w:id="1">
    <w:p w:rsidR="00004D9A" w:rsidRDefault="001E0777">
      <w:pPr>
        <w:pStyle w:val="a5"/>
        <w:shd w:val="clear" w:color="auto" w:fill="auto"/>
        <w:ind w:left="120" w:right="80"/>
      </w:pPr>
      <w:r>
        <w:rPr>
          <w:vertAlign w:val="superscript"/>
        </w:rPr>
        <w:footnoteRef/>
      </w:r>
      <w:r>
        <w:t xml:space="preserve"> </w:t>
      </w:r>
      <w:proofErr w:type="gramStart"/>
      <w:r>
        <w:t xml:space="preserve">«Правила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утвержденные Постановлением Правительства РФ от 27 декабря 2004 г. </w:t>
      </w:r>
      <w:r>
        <w:rPr>
          <w:lang w:val="en-US" w:eastAsia="en-US" w:bidi="en-US"/>
        </w:rPr>
        <w:t>N</w:t>
      </w:r>
      <w:r w:rsidRPr="000662F1">
        <w:rPr>
          <w:lang w:eastAsia="en-US" w:bidi="en-US"/>
        </w:rPr>
        <w:t xml:space="preserve"> </w:t>
      </w:r>
      <w:r>
        <w:t>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</w:t>
      </w:r>
      <w:proofErr w:type="gramEnd"/>
      <w:r>
        <w:t xml:space="preserve">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</w:r>
    </w:p>
  </w:footnote>
  <w:footnote w:id="2">
    <w:p w:rsidR="00004D9A" w:rsidRDefault="001E0777">
      <w:pPr>
        <w:pStyle w:val="a5"/>
        <w:shd w:val="clear" w:color="auto" w:fill="auto"/>
        <w:ind w:left="120" w:right="80"/>
      </w:pPr>
      <w:r>
        <w:rPr>
          <w:vertAlign w:val="superscript"/>
        </w:rPr>
        <w:footnoteRef/>
      </w:r>
      <w:r>
        <w:t xml:space="preserve"> 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>
        <w:t>кВ</w:t>
      </w:r>
      <w:proofErr w:type="spellEnd"/>
      <w:r>
        <w:t xml:space="preserve"> включительно, </w:t>
      </w:r>
      <w:proofErr w:type="gramStart"/>
      <w:r>
        <w:t>и</w:t>
      </w:r>
      <w:proofErr w:type="gramEnd"/>
      <w:r>
        <w:t xml:space="preserve">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04D9A"/>
    <w:rsid w:val="00004D9A"/>
    <w:rsid w:val="000662F1"/>
    <w:rsid w:val="001E0777"/>
    <w:rsid w:val="005D16B1"/>
    <w:rsid w:val="006B4D23"/>
    <w:rsid w:val="00897FAB"/>
    <w:rsid w:val="00B8611D"/>
    <w:rsid w:val="00F52C34"/>
    <w:rsid w:val="00F8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pt">
    <w:name w:val="Основной текст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840" w:after="1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_"/>
    <w:basedOn w:val="a0"/>
    <w:link w:val="23"/>
    <w:rsid w:val="005D16B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5D16B1"/>
    <w:pPr>
      <w:shd w:val="clear" w:color="auto" w:fill="FFFFFF"/>
      <w:spacing w:before="120" w:line="274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pt">
    <w:name w:val="Основной текст + 10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Основной текст + 10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4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840" w:after="18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Заголовок №2_"/>
    <w:basedOn w:val="a0"/>
    <w:link w:val="23"/>
    <w:rsid w:val="005D16B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23">
    <w:name w:val="Заголовок №2"/>
    <w:basedOn w:val="a"/>
    <w:link w:val="22"/>
    <w:rsid w:val="005D16B1"/>
    <w:pPr>
      <w:shd w:val="clear" w:color="auto" w:fill="FFFFFF"/>
      <w:spacing w:before="120" w:line="274" w:lineRule="exac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lchanov@cup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pril_5._ПАСПОРТ_УСЛУГИ_Перераспределение.docx</vt:lpstr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pril_5._ПАСПОРТ_УСЛУГИ_Перераспределение.docx</dc:title>
  <dc:creator>Кириллова Ксения Викторовна</dc:creator>
  <cp:lastModifiedBy>molchanov</cp:lastModifiedBy>
  <cp:revision>5</cp:revision>
  <dcterms:created xsi:type="dcterms:W3CDTF">2015-02-04T08:22:00Z</dcterms:created>
  <dcterms:modified xsi:type="dcterms:W3CDTF">2017-11-03T03:09:00Z</dcterms:modified>
</cp:coreProperties>
</file>